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CF9" w:rsidRDefault="00E139BE">
      <w:r>
        <w:rPr>
          <w:rFonts w:ascii="Roboto" w:hAnsi="Roboto"/>
          <w:color w:val="000000"/>
          <w:sz w:val="20"/>
          <w:szCs w:val="20"/>
          <w:shd w:val="clear" w:color="auto" w:fill="FFFFFF"/>
        </w:rPr>
        <w:t>27 апреля в пятый раз пройдёт международная акция «Диктант Победы», посвящённая событиям Великой Отечественной войны.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Присоединиться к диктанту может любой желающий. Для участия предусмотрены два формата: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50084901" wp14:editId="0D71C144">
            <wp:extent cx="152400" cy="152400"/>
            <wp:effectExtent l="0" t="0" r="0" b="0"/>
            <wp:docPr id="1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Очный — на региональных площадках.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8E59708" wp14:editId="7203439F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Онлайн — на официальном сайте.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 рамках «Диктанта Победы» участники должны ответить на 25 вопросов: 20 по общей военно-исторической тематике и пять по региональной. Чтобы лучше подготовиться к акции, вы можете пройти тренировочные тесты на официальном сайте.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Победители диктанта награждаются дипломами и получают приглашение на парад 9 мая на Красной площади в Москве. Абитуриентам, показавшим высокие результаты по итогам очного тестирования, начисляются дополнительные баллы при поступлении в вуз.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AE00EC8" wp14:editId="77C8CEF4">
            <wp:extent cx="152400" cy="15240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Подробности акции — на сайте: </w:t>
      </w:r>
      <w:hyperlink r:id="rId5" w:tgtFrame="_blank" w:history="1">
        <w:proofErr w:type="spellStart"/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диктантпобеды.рф</w:t>
        </w:r>
        <w:proofErr w:type="spellEnd"/>
      </w:hyperlink>
    </w:p>
    <w:sectPr w:rsidR="0008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BE"/>
    <w:rsid w:val="00081CF9"/>
    <w:rsid w:val="00E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E0622-608E-4FDF-88A0-A79F2295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%E4%E8%EA%F2%E0%ED%F2%EF%EE%E1%E5%E4%FB.%F0%F4&amp;post=33339846_4028&amp;cc_key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2023-04-18T03:24:00Z</dcterms:created>
  <dcterms:modified xsi:type="dcterms:W3CDTF">2023-04-18T03:24:00Z</dcterms:modified>
</cp:coreProperties>
</file>